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75269" w14:textId="77777777" w:rsidR="0027369B" w:rsidRDefault="0027369B" w:rsidP="0027369B">
      <w:pPr>
        <w:pStyle w:val="SOPLevel1"/>
        <w:numPr>
          <w:ilvl w:val="0"/>
          <w:numId w:val="3"/>
        </w:numPr>
      </w:pPr>
      <w:r>
        <w:t>PURPOSE</w:t>
      </w:r>
    </w:p>
    <w:p w14:paraId="39A78CC9" w14:textId="77777777" w:rsidR="00311566" w:rsidRDefault="00E02C26" w:rsidP="00DD3AD8">
      <w:pPr>
        <w:pStyle w:val="SOPLevel2"/>
      </w:pPr>
      <w:r>
        <w:t>This</w:t>
      </w:r>
      <w:r w:rsidR="004C046E" w:rsidRPr="004C046E">
        <w:t xml:space="preserve"> procedure establish</w:t>
      </w:r>
      <w:r w:rsidR="00DD3AD8">
        <w:t>es</w:t>
      </w:r>
      <w:r w:rsidR="004C046E" w:rsidRPr="004C046E">
        <w:t xml:space="preserve"> </w:t>
      </w:r>
      <w:r w:rsidR="008C5C39">
        <w:t>the</w:t>
      </w:r>
      <w:r w:rsidR="004C046E" w:rsidRPr="004C046E">
        <w:t xml:space="preserve"> process to </w:t>
      </w:r>
      <w:r w:rsidR="00DD3AD8">
        <w:t>evaluate and manage financial interests</w:t>
      </w:r>
      <w:r w:rsidR="00D80F53">
        <w:t xml:space="preserve"> </w:t>
      </w:r>
      <w:r w:rsidR="004248B4">
        <w:t>&lt;Related to the Research&gt;.</w:t>
      </w:r>
    </w:p>
    <w:p w14:paraId="2077526B" w14:textId="631D510F" w:rsidR="004C046E" w:rsidRPr="004C046E" w:rsidRDefault="004C046E" w:rsidP="00DD3AD8">
      <w:pPr>
        <w:pStyle w:val="SOPLevel2"/>
      </w:pPr>
      <w:r w:rsidRPr="004C046E">
        <w:t xml:space="preserve">This procedure begins when </w:t>
      </w:r>
      <w:r w:rsidR="007938CD">
        <w:t xml:space="preserve">an individual or the </w:t>
      </w:r>
      <w:r w:rsidR="005A1699">
        <w:t>University</w:t>
      </w:r>
      <w:r w:rsidR="007938CD">
        <w:t xml:space="preserve"> </w:t>
      </w:r>
      <w:r w:rsidR="00DD3AD8">
        <w:t>discloses a financial interest</w:t>
      </w:r>
      <w:r w:rsidR="00D80F53">
        <w:t xml:space="preserve"> </w:t>
      </w:r>
      <w:r w:rsidR="004248B4">
        <w:t>&lt;Related to the Research&gt;.</w:t>
      </w:r>
    </w:p>
    <w:p w14:paraId="6F1054E7" w14:textId="1A902013" w:rsidR="007A3FF5" w:rsidRPr="004C046E" w:rsidRDefault="007A3FF5" w:rsidP="007A3FF5">
      <w:pPr>
        <w:pStyle w:val="SOPLevel2"/>
      </w:pPr>
      <w:r w:rsidRPr="004C046E">
        <w:t xml:space="preserve">This procedure ends when </w:t>
      </w:r>
      <w:r>
        <w:t xml:space="preserve">the Conflicts of Interests </w:t>
      </w:r>
      <w:r w:rsidR="00AF7032">
        <w:t>Review Committee</w:t>
      </w:r>
      <w:r>
        <w:t xml:space="preserve"> decides that the financial interest is not a conflict of </w:t>
      </w:r>
      <w:r w:rsidR="00AF7032">
        <w:t>interest or</w:t>
      </w:r>
      <w:r>
        <w:t xml:space="preserve"> informs the IRB of the management plan.</w:t>
      </w:r>
    </w:p>
    <w:p w14:paraId="2077526D" w14:textId="77777777" w:rsidR="0027369B" w:rsidRDefault="0027369B" w:rsidP="0027369B">
      <w:pPr>
        <w:pStyle w:val="SOPLevel1"/>
        <w:numPr>
          <w:ilvl w:val="0"/>
          <w:numId w:val="3"/>
        </w:numPr>
      </w:pPr>
      <w:r>
        <w:t>POLICY</w:t>
      </w:r>
    </w:p>
    <w:p w14:paraId="2077526E" w14:textId="4E5663FD" w:rsidR="00DD3AD8" w:rsidRPr="00792B4E" w:rsidRDefault="00DD3AD8" w:rsidP="00DD3AD8">
      <w:pPr>
        <w:pStyle w:val="SOPLevel2"/>
      </w:pPr>
      <w:r w:rsidRPr="00792B4E">
        <w:t xml:space="preserve">For any or all steps of this procedure, the Conflicts of Interests Officer may have the Conflicts of Interests Committee follow the procedure whenever the </w:t>
      </w:r>
      <w:r w:rsidR="0007426F" w:rsidRPr="00792B4E">
        <w:t xml:space="preserve">Conflicts of Interests </w:t>
      </w:r>
      <w:proofErr w:type="gramStart"/>
      <w:r w:rsidR="0007426F" w:rsidRPr="00792B4E">
        <w:t>Officer]</w:t>
      </w:r>
      <w:r w:rsidRPr="00792B4E">
        <w:t>believes</w:t>
      </w:r>
      <w:proofErr w:type="gramEnd"/>
      <w:r w:rsidRPr="00792B4E">
        <w:t xml:space="preserve"> that institutional consensus is needed to make a decision.</w:t>
      </w:r>
    </w:p>
    <w:p w14:paraId="2077526F" w14:textId="77777777" w:rsidR="00DD3AD8" w:rsidRPr="00DD3AD8" w:rsidRDefault="00DD3AD8" w:rsidP="00DD3AD8">
      <w:pPr>
        <w:pStyle w:val="SOPLevel2"/>
      </w:pPr>
      <w:r w:rsidRPr="00DD3AD8">
        <w:t>The financial disclosure threshold may not vary by funding or regulatory oversight.</w:t>
      </w:r>
    </w:p>
    <w:p w14:paraId="20775270" w14:textId="77777777" w:rsidR="00DD3AD8" w:rsidRPr="00DD3AD8" w:rsidRDefault="00DD3AD8" w:rsidP="00DD3AD8">
      <w:pPr>
        <w:pStyle w:val="SOPLevel2"/>
      </w:pPr>
      <w:r w:rsidRPr="00DD3AD8">
        <w:t>Individuals are considered to have an institutional responsibility and are subject to this policy when they are involved in any of the following:</w:t>
      </w:r>
    </w:p>
    <w:p w14:paraId="20775271" w14:textId="77777777" w:rsidR="00DD3AD8" w:rsidRPr="00DD3AD8" w:rsidRDefault="00DD3AD8" w:rsidP="00DD3AD8">
      <w:pPr>
        <w:pStyle w:val="SOPLevel3"/>
      </w:pPr>
      <w:r w:rsidRPr="00DD3AD8">
        <w:t>The design, conduct, or reporting of research</w:t>
      </w:r>
    </w:p>
    <w:p w14:paraId="20775272" w14:textId="77777777" w:rsidR="00DD3AD8" w:rsidRPr="00DD3AD8" w:rsidRDefault="00DD3AD8" w:rsidP="00DD3AD8">
      <w:pPr>
        <w:pStyle w:val="SOPLevel3"/>
      </w:pPr>
      <w:r w:rsidRPr="00DD3AD8">
        <w:t>Research consultation</w:t>
      </w:r>
    </w:p>
    <w:p w14:paraId="20775273" w14:textId="77777777" w:rsidR="00DD3AD8" w:rsidRPr="00DD3AD8" w:rsidRDefault="00DD3AD8" w:rsidP="00DD3AD8">
      <w:pPr>
        <w:pStyle w:val="SOPLevel3"/>
      </w:pPr>
      <w:r w:rsidRPr="00DD3AD8">
        <w:t>Teaching</w:t>
      </w:r>
    </w:p>
    <w:p w14:paraId="20775274" w14:textId="77777777" w:rsidR="00DD3AD8" w:rsidRPr="00DD3AD8" w:rsidRDefault="00DD3AD8" w:rsidP="00DD3AD8">
      <w:pPr>
        <w:pStyle w:val="SOPLevel3"/>
      </w:pPr>
      <w:r w:rsidRPr="00DD3AD8">
        <w:t>Professional practice</w:t>
      </w:r>
    </w:p>
    <w:p w14:paraId="20775275" w14:textId="77777777" w:rsidR="00DD3AD8" w:rsidRPr="00DD3AD8" w:rsidRDefault="00DD3AD8" w:rsidP="00DD3AD8">
      <w:pPr>
        <w:pStyle w:val="SOPLevel3"/>
      </w:pPr>
      <w:r w:rsidRPr="00DD3AD8">
        <w:t>Institutional committee memberships</w:t>
      </w:r>
    </w:p>
    <w:p w14:paraId="20775276" w14:textId="77777777" w:rsidR="00DD3AD8" w:rsidRPr="00DD3AD8" w:rsidRDefault="00DD3AD8" w:rsidP="00DD3AD8">
      <w:pPr>
        <w:pStyle w:val="SOPLevel3"/>
      </w:pPr>
      <w:r w:rsidRPr="00DD3AD8">
        <w:t>Service on panels such as Institutional Review Boards or Data and Safety Monitoring Boards</w:t>
      </w:r>
    </w:p>
    <w:p w14:paraId="20775277" w14:textId="77777777" w:rsidR="00DD3AD8" w:rsidRPr="00DD3AD8" w:rsidRDefault="00DD3AD8" w:rsidP="00DD3AD8">
      <w:pPr>
        <w:pStyle w:val="SOPLevel2"/>
      </w:pPr>
      <w:r w:rsidRPr="00DD3AD8">
        <w:t>Individuals subject to this policy are required to complete financial conflicts of interest training initially, at least every four years, and immediately when:</w:t>
      </w:r>
    </w:p>
    <w:p w14:paraId="20775278" w14:textId="4024CCAC" w:rsidR="00DD3AD8" w:rsidRPr="00DD3AD8" w:rsidRDefault="00DD3AD8" w:rsidP="00DD3AD8">
      <w:pPr>
        <w:pStyle w:val="SOPLevel3"/>
      </w:pPr>
      <w:r w:rsidRPr="00DD3AD8">
        <w:t xml:space="preserve">Joining the </w:t>
      </w:r>
      <w:r w:rsidR="00AF7032">
        <w:t>University</w:t>
      </w:r>
    </w:p>
    <w:p w14:paraId="20775279" w14:textId="77777777" w:rsidR="00DD3AD8" w:rsidRPr="00DD3AD8" w:rsidRDefault="00DD3AD8" w:rsidP="00DD3AD8">
      <w:pPr>
        <w:pStyle w:val="SOPLevel3"/>
      </w:pPr>
      <w:r w:rsidRPr="00DD3AD8">
        <w:t>Financial conflicts policies are revised in a manner that changes investigator requirements</w:t>
      </w:r>
    </w:p>
    <w:p w14:paraId="2077527A" w14:textId="77777777" w:rsidR="00DD3AD8" w:rsidRPr="00DD3AD8" w:rsidRDefault="00DD3AD8" w:rsidP="00DD3AD8">
      <w:pPr>
        <w:pStyle w:val="SOPLevel3"/>
      </w:pPr>
      <w:r w:rsidRPr="00DD3AD8">
        <w:t>Non-compliant with financial conflicts policies and procedures</w:t>
      </w:r>
    </w:p>
    <w:p w14:paraId="2077527F" w14:textId="77777777" w:rsidR="00DD3AD8" w:rsidRPr="00DD3AD8" w:rsidRDefault="00DD3AD8" w:rsidP="00DD3AD8">
      <w:pPr>
        <w:pStyle w:val="SOPLevel2"/>
      </w:pPr>
      <w:r w:rsidRPr="00DD3AD8">
        <w:t>Travel disclosures are to include the purpose of the trip, the identity of the sponsor or organizer, the destination, and the duration.</w:t>
      </w:r>
    </w:p>
    <w:p w14:paraId="1B39D448" w14:textId="77777777" w:rsidR="009358B3" w:rsidRDefault="009358B3" w:rsidP="009358B3">
      <w:pPr>
        <w:pStyle w:val="SOPLevel2"/>
      </w:pPr>
      <w:r>
        <w:t xml:space="preserve">Significant financial interest means: </w:t>
      </w:r>
    </w:p>
    <w:p w14:paraId="14917F2A" w14:textId="77777777" w:rsidR="009358B3" w:rsidRDefault="009358B3" w:rsidP="009358B3">
      <w:pPr>
        <w:pStyle w:val="SOPLevel3"/>
      </w:pPr>
      <w:r>
        <w:t xml:space="preserve">A financial interest consisting of one or more of the following interests of the Investigator (and those of the Investigator’s spouse and dependent children) that reasonably appears to be related to the Investigator’s institutional responsibilities: </w:t>
      </w:r>
    </w:p>
    <w:p w14:paraId="2CC819CB" w14:textId="77777777" w:rsidR="009358B3" w:rsidRDefault="009358B3" w:rsidP="0023550F">
      <w:pPr>
        <w:pStyle w:val="SOPLevel4"/>
      </w:pPr>
      <w:r>
        <w:t xml:space="preserve">With regard to any publicly traded entity, a significant financial interest exists if the value of any remuneration received from the entity in the twelve months preceding the disclosure and the value of any equity interest in the entity as of the date of disclosure, when aggregated, exceeds $5,000. For purposes of this definition, remuneration includes salary and any payment for services not otherwise identified as salary (e.g., consulting fees, honoraria, paid authorship); equity interest includes any stock, stock option, or other ownership interest, as determined through reference to public prices or other reasonable measures of fair market value; </w:t>
      </w:r>
    </w:p>
    <w:p w14:paraId="139248AE" w14:textId="77777777" w:rsidR="009358B3" w:rsidRDefault="009358B3" w:rsidP="009358B3">
      <w:pPr>
        <w:pStyle w:val="SOPLevel4"/>
      </w:pPr>
      <w:r>
        <w:t xml:space="preserve">With regard to any non-publicly traded entity, a significant financial interest exists if the value of any remuneration received from the entity in the twelve months preceding the disclosure, when aggregated, exceeds $5,000, or when the Investigator (or the Investigator’s spouse or dependent children) holds any equity interest (e.g., stock, stock option, or other ownership interest); </w:t>
      </w:r>
    </w:p>
    <w:p w14:paraId="6DFAFD12" w14:textId="77777777" w:rsidR="009358B3" w:rsidRDefault="009358B3" w:rsidP="009358B3">
      <w:pPr>
        <w:pStyle w:val="SOPLevel4"/>
      </w:pPr>
      <w:r>
        <w:lastRenderedPageBreak/>
        <w:t>Intellectual property rights and interests (e.g., patents, copyrights), upon receipt of income related to such rights and interests; or</w:t>
      </w:r>
      <w:r w:rsidRPr="00DD3AD8" w:rsidDel="00500389">
        <w:t xml:space="preserve"> </w:t>
      </w:r>
    </w:p>
    <w:p w14:paraId="50CB8EC7" w14:textId="77777777" w:rsidR="009358B3" w:rsidRDefault="009358B3" w:rsidP="009358B3">
      <w:pPr>
        <w:pStyle w:val="SOPLevel4"/>
      </w:pPr>
      <w:r>
        <w:t>Compensation of any amount that could be higher for a favorable outcome than for an unfavorable outcome, such as compensation that is explicitly greater for a favorable result or compensation to the investigator in the form of an equity interest in the sponsor of a covered study or in the form of compensation tied to sales of the product, such as a royalty interest.</w:t>
      </w:r>
    </w:p>
    <w:p w14:paraId="2C315012" w14:textId="77777777" w:rsidR="009358B3" w:rsidRDefault="009358B3" w:rsidP="009358B3">
      <w:pPr>
        <w:pStyle w:val="SOPLevel4"/>
      </w:pPr>
      <w:r>
        <w:t>Board or executive relationship.</w:t>
      </w:r>
    </w:p>
    <w:p w14:paraId="7AD98BF7" w14:textId="77777777" w:rsidR="009358B3" w:rsidRPr="00DD3AD8" w:rsidRDefault="009358B3" w:rsidP="009358B3">
      <w:pPr>
        <w:pStyle w:val="SOPLevel3"/>
      </w:pPr>
      <w:r>
        <w:t>The term significant financial interest does not include the following types of financial interests: salary, royalties, or other remuneration paid by the Institution to the Investigator if the Investigator is currently employed or otherwise appointed by the Institution, including intellectual property rights assigned to the Institution and agreements to share in royalties related to such rights; any ownership interest in the Institution held by the Investigator, if the Institution is a commercial or for profit organization; income from investment vehicles, such as mutual funds and retirement accounts, as long as the Investigator does not directly control the investment decisions made in these vehicles; income from seminars, lectures, or teaching engagements sponsored by a Federal, state, or local government agency, an Institution of higher education as defined at 20 U.S.C. 1001(a), an academic teaching hospital, a medical center, or a research institute that is affiliated with an Institution of higher education; or income from service on advisory committees or review panels for a Federal, state, or local government agency, an Institution of higher education as defined at 20 U.S.C. 1001(a), an academic teaching hospital, a medical center, or a research institute that is affiliated with an Institution of higher education.</w:t>
      </w:r>
    </w:p>
    <w:p w14:paraId="20775284" w14:textId="77777777" w:rsidR="00DD3AD8" w:rsidRPr="00DD3AD8" w:rsidRDefault="00DD3AD8" w:rsidP="00DD3AD8">
      <w:pPr>
        <w:pStyle w:val="SOPLevel2"/>
      </w:pPr>
      <w:r w:rsidRPr="00DD3AD8">
        <w:t>Violations of this policy or proscribed management plans can lead to:</w:t>
      </w:r>
    </w:p>
    <w:p w14:paraId="20775285" w14:textId="77777777" w:rsidR="00DD3AD8" w:rsidRPr="00DD3AD8" w:rsidRDefault="00DD3AD8" w:rsidP="00DD3AD8">
      <w:pPr>
        <w:pStyle w:val="SOPLevel3"/>
      </w:pPr>
      <w:r w:rsidRPr="00DD3AD8">
        <w:t>Loss or restriction of privileges to conduct research</w:t>
      </w:r>
    </w:p>
    <w:p w14:paraId="20775286" w14:textId="68AAC782" w:rsidR="00DD3AD8" w:rsidRPr="00DD3AD8" w:rsidRDefault="00DD3AD8" w:rsidP="00DD3AD8">
      <w:pPr>
        <w:pStyle w:val="SOPLevel3"/>
      </w:pPr>
      <w:r w:rsidRPr="00DD3AD8">
        <w:t>Other employment actions as allow</w:t>
      </w:r>
      <w:r w:rsidR="00D82A96">
        <w:t>ed</w:t>
      </w:r>
      <w:r w:rsidRPr="00DD3AD8">
        <w:t xml:space="preserve"> by Human Resources Policies and Procedures.</w:t>
      </w:r>
    </w:p>
    <w:p w14:paraId="20775287" w14:textId="77777777" w:rsidR="00DD3AD8" w:rsidRDefault="00DD3AD8" w:rsidP="005753E7">
      <w:pPr>
        <w:pStyle w:val="SOPLevel2"/>
      </w:pPr>
      <w:r w:rsidRPr="00DD3AD8">
        <w:t>Records related to disclosures and management of financial conflicts of interest are to be retained for at least three years from completion of the research.</w:t>
      </w:r>
    </w:p>
    <w:p w14:paraId="20775288" w14:textId="13A0F4BA" w:rsidR="00AF54D3" w:rsidRPr="00DD3AD8" w:rsidRDefault="00AF54D3" w:rsidP="00AF54D3">
      <w:pPr>
        <w:pStyle w:val="SOPLevel2"/>
      </w:pPr>
      <w:r>
        <w:t xml:space="preserve">The IRB has </w:t>
      </w:r>
      <w:r w:rsidR="007A3FF5">
        <w:t xml:space="preserve">the </w:t>
      </w:r>
      <w:r>
        <w:t xml:space="preserve">authority to decide </w:t>
      </w:r>
      <w:r w:rsidRPr="00992405">
        <w:t xml:space="preserve">whether </w:t>
      </w:r>
      <w:r>
        <w:t>a</w:t>
      </w:r>
      <w:r w:rsidRPr="00992405">
        <w:t xml:space="preserve"> </w:t>
      </w:r>
      <w:r>
        <w:t xml:space="preserve">financial </w:t>
      </w:r>
      <w:r w:rsidRPr="00992405">
        <w:t>interest and its management, if any, allow the</w:t>
      </w:r>
      <w:r>
        <w:t xml:space="preserve"> research to meet criteria for approval.</w:t>
      </w:r>
    </w:p>
    <w:p w14:paraId="20775289" w14:textId="77777777" w:rsidR="0027369B" w:rsidRDefault="0027369B" w:rsidP="0027369B">
      <w:pPr>
        <w:pStyle w:val="SOPLevel1"/>
        <w:numPr>
          <w:ilvl w:val="0"/>
          <w:numId w:val="3"/>
        </w:numPr>
      </w:pPr>
      <w:r>
        <w:t>RESPONSIBILITY</w:t>
      </w:r>
    </w:p>
    <w:p w14:paraId="2077528A" w14:textId="7443C357" w:rsidR="00FA76FB" w:rsidRDefault="0007426F" w:rsidP="00DD3AD8">
      <w:pPr>
        <w:pStyle w:val="SOPLevel2"/>
      </w:pPr>
      <w:r>
        <w:t xml:space="preserve">Conflicts of Interests </w:t>
      </w:r>
      <w:r w:rsidR="00AF7032">
        <w:t>Review Committee</w:t>
      </w:r>
      <w:r w:rsidR="00DD3AD8" w:rsidRPr="00DD3AD8">
        <w:t xml:space="preserve"> </w:t>
      </w:r>
      <w:r w:rsidR="005A0F0A">
        <w:t>carries</w:t>
      </w:r>
      <w:r w:rsidR="00FA76FB" w:rsidRPr="00FA76FB">
        <w:t xml:space="preserve"> out these procedures</w:t>
      </w:r>
      <w:r w:rsidR="005A0F0A">
        <w:t>.</w:t>
      </w:r>
    </w:p>
    <w:p w14:paraId="2077528C" w14:textId="77777777" w:rsidR="0027369B" w:rsidRDefault="0027369B" w:rsidP="0027369B">
      <w:pPr>
        <w:pStyle w:val="SOPLevel1"/>
        <w:numPr>
          <w:ilvl w:val="0"/>
          <w:numId w:val="3"/>
        </w:numPr>
      </w:pPr>
      <w:r>
        <w:t>PROCEDURE</w:t>
      </w:r>
    </w:p>
    <w:p w14:paraId="2077528D" w14:textId="77777777" w:rsidR="00DD3AD8" w:rsidRPr="00DD3AD8" w:rsidRDefault="00DD3AD8" w:rsidP="00DD3AD8">
      <w:pPr>
        <w:pStyle w:val="SOPLevel2"/>
      </w:pPr>
      <w:r>
        <w:t xml:space="preserve">Ensure </w:t>
      </w:r>
      <w:r w:rsidR="00456A53">
        <w:t>individuals</w:t>
      </w:r>
      <w:r w:rsidRPr="00DD3AD8">
        <w:t xml:space="preserve"> do not participate in the review of any conflict of interests in which the </w:t>
      </w:r>
      <w:r w:rsidR="00456A53">
        <w:t>individual</w:t>
      </w:r>
      <w:r w:rsidRPr="00DD3AD8">
        <w:t xml:space="preserve"> has </w:t>
      </w:r>
      <w:r w:rsidR="00456A53">
        <w:t>&lt;</w:t>
      </w:r>
      <w:r w:rsidRPr="00DD3AD8">
        <w:t>Conflicting Interest</w:t>
      </w:r>
      <w:r w:rsidR="00456A53">
        <w:t>&gt;</w:t>
      </w:r>
      <w:r w:rsidRPr="00DD3AD8">
        <w:t>.</w:t>
      </w:r>
    </w:p>
    <w:p w14:paraId="2077528E" w14:textId="77777777" w:rsidR="00DD3AD8" w:rsidRDefault="00DD3AD8" w:rsidP="00DD3AD8">
      <w:pPr>
        <w:pStyle w:val="SOPLevel2"/>
      </w:pPr>
      <w:r w:rsidRPr="00DD3AD8">
        <w:t>Review the r</w:t>
      </w:r>
      <w:r>
        <w:t>eported</w:t>
      </w:r>
      <w:r w:rsidRPr="00B95335">
        <w:t xml:space="preserve"> financial</w:t>
      </w:r>
      <w:r>
        <w:t xml:space="preserve"> interest and the </w:t>
      </w:r>
      <w:r w:rsidRPr="009C61BA">
        <w:t>research</w:t>
      </w:r>
      <w:r>
        <w:t>.</w:t>
      </w:r>
    </w:p>
    <w:p w14:paraId="2077528F" w14:textId="753B288D" w:rsidR="00456A53" w:rsidRPr="00B95335" w:rsidRDefault="00456A53" w:rsidP="00456A53">
      <w:pPr>
        <w:pStyle w:val="SOPLevel2"/>
      </w:pPr>
      <w:r>
        <w:t xml:space="preserve">If the </w:t>
      </w:r>
      <w:r w:rsidR="00A876AD">
        <w:t xml:space="preserve">University </w:t>
      </w:r>
      <w:r>
        <w:t>has already review</w:t>
      </w:r>
      <w:r w:rsidR="00826083">
        <w:t>ed</w:t>
      </w:r>
      <w:r>
        <w:t xml:space="preserve"> the financial interest and </w:t>
      </w:r>
      <w:r w:rsidRPr="009C61BA">
        <w:t>research</w:t>
      </w:r>
      <w:r>
        <w:t xml:space="preserve">, notify </w:t>
      </w:r>
      <w:r w:rsidR="00826083">
        <w:t xml:space="preserve">the </w:t>
      </w:r>
      <w:r w:rsidR="00A438F8">
        <w:t>HRPP staff</w:t>
      </w:r>
      <w:r w:rsidR="00826083">
        <w:t xml:space="preserve"> member</w:t>
      </w:r>
      <w:r>
        <w:t xml:space="preserve"> </w:t>
      </w:r>
      <w:r w:rsidR="00826083">
        <w:t xml:space="preserve">handling the submission </w:t>
      </w:r>
      <w:r>
        <w:t>and stop processing this SOP.</w:t>
      </w:r>
    </w:p>
    <w:p w14:paraId="20775290" w14:textId="19D6B5F0" w:rsidR="00DD3AD8" w:rsidRDefault="00DD3AD8" w:rsidP="00DD3AD8">
      <w:pPr>
        <w:pStyle w:val="SOPLevel2"/>
      </w:pPr>
      <w:r>
        <w:t>Determine whether the reported financial interest is &lt;Related to the Research</w:t>
      </w:r>
      <w:r w:rsidR="00862143">
        <w:t>&gt;.</w:t>
      </w:r>
    </w:p>
    <w:p w14:paraId="20775291" w14:textId="0EBCF2B5" w:rsidR="00456A53" w:rsidRDefault="00456A53" w:rsidP="00456A53">
      <w:pPr>
        <w:pStyle w:val="SOPLevel3"/>
      </w:pPr>
      <w:r>
        <w:t xml:space="preserve">If </w:t>
      </w:r>
      <w:r w:rsidR="007A3FF5">
        <w:t>the financial interest is not &lt;Related to the Research&gt;</w:t>
      </w:r>
      <w:r>
        <w:t xml:space="preserve">, notify </w:t>
      </w:r>
      <w:r w:rsidR="00826083">
        <w:t xml:space="preserve">the </w:t>
      </w:r>
      <w:r w:rsidR="00A438F8">
        <w:t>HRPP staff</w:t>
      </w:r>
      <w:r w:rsidR="00826083">
        <w:t xml:space="preserve"> member handling the submission </w:t>
      </w:r>
      <w:r>
        <w:t>and stop processing this SOP.</w:t>
      </w:r>
    </w:p>
    <w:p w14:paraId="20775292" w14:textId="77777777" w:rsidR="00DD3AD8" w:rsidRPr="00502C62" w:rsidRDefault="00DD3AD8" w:rsidP="00DD3AD8">
      <w:pPr>
        <w:pStyle w:val="SOPLevel2"/>
      </w:pPr>
      <w:r>
        <w:t>D</w:t>
      </w:r>
      <w:r w:rsidRPr="00B95335">
        <w:t>etermine</w:t>
      </w:r>
      <w:r>
        <w:t xml:space="preserve"> </w:t>
      </w:r>
      <w:r w:rsidRPr="00B95335">
        <w:t xml:space="preserve">whether </w:t>
      </w:r>
      <w:r>
        <w:t>the</w:t>
      </w:r>
      <w:r w:rsidRPr="00B95335">
        <w:t xml:space="preserve"> </w:t>
      </w:r>
      <w:r>
        <w:t xml:space="preserve">reported financial interest </w:t>
      </w:r>
      <w:r w:rsidRPr="00B95335">
        <w:t>could directly and significantly affect the design,</w:t>
      </w:r>
      <w:r>
        <w:t xml:space="preserve"> </w:t>
      </w:r>
      <w:r w:rsidRPr="00B95335">
        <w:t xml:space="preserve">conduct, or reporting </w:t>
      </w:r>
      <w:r>
        <w:t xml:space="preserve">(i.e., the reported financial interest is a conflict of interests) </w:t>
      </w:r>
      <w:r w:rsidRPr="00B95335">
        <w:t>of the</w:t>
      </w:r>
      <w:r w:rsidR="00456A53">
        <w:t xml:space="preserve"> research</w:t>
      </w:r>
      <w:r w:rsidRPr="00502C62">
        <w:t>.</w:t>
      </w:r>
    </w:p>
    <w:p w14:paraId="20775293" w14:textId="049227B1" w:rsidR="00DD3AD8" w:rsidRDefault="00DD3AD8" w:rsidP="00DD3AD8">
      <w:pPr>
        <w:pStyle w:val="SOPLevel3"/>
      </w:pPr>
      <w:r>
        <w:lastRenderedPageBreak/>
        <w:t>If t</w:t>
      </w:r>
      <w:r w:rsidR="00456A53">
        <w:t>here is no conflict</w:t>
      </w:r>
      <w:r>
        <w:t xml:space="preserve">, notify </w:t>
      </w:r>
      <w:r w:rsidR="00826083">
        <w:t xml:space="preserve">the </w:t>
      </w:r>
      <w:r w:rsidR="00A438F8">
        <w:t>HRPP staff</w:t>
      </w:r>
      <w:r w:rsidR="00826083">
        <w:t xml:space="preserve"> member handling the submission </w:t>
      </w:r>
      <w:r>
        <w:t>and stop processing this procedure.</w:t>
      </w:r>
    </w:p>
    <w:p w14:paraId="20775294" w14:textId="50E986FA" w:rsidR="00DD3AD8" w:rsidRDefault="00456A53" w:rsidP="00456A53">
      <w:pPr>
        <w:pStyle w:val="SOPLevel2"/>
      </w:pPr>
      <w:r>
        <w:t xml:space="preserve">Use “WORKSHEET: </w:t>
      </w:r>
      <w:r w:rsidRPr="00456A53">
        <w:t>Financial Interest Management</w:t>
      </w:r>
      <w:r w:rsidR="00722EB4">
        <w:t xml:space="preserve"> (HRP-412)</w:t>
      </w:r>
      <w:r>
        <w:t xml:space="preserve">” </w:t>
      </w:r>
      <w:r w:rsidR="00AF54D3">
        <w:t xml:space="preserve">and work with the investigator </w:t>
      </w:r>
      <w:r>
        <w:t>to develop a written management plan.</w:t>
      </w:r>
    </w:p>
    <w:p w14:paraId="20775295" w14:textId="6001DF42" w:rsidR="00DD3AD8" w:rsidRDefault="00DD3AD8" w:rsidP="00DD3AD8">
      <w:pPr>
        <w:pStyle w:val="SOPLevel2"/>
      </w:pPr>
      <w:r>
        <w:t xml:space="preserve">Provide </w:t>
      </w:r>
      <w:r w:rsidR="00826083">
        <w:t xml:space="preserve">the </w:t>
      </w:r>
      <w:r w:rsidR="00A438F8">
        <w:t>HRPP staff</w:t>
      </w:r>
      <w:r w:rsidR="00826083">
        <w:t xml:space="preserve"> member handling the submission </w:t>
      </w:r>
      <w:r>
        <w:t>with the written management plan.</w:t>
      </w:r>
    </w:p>
    <w:p w14:paraId="20775296" w14:textId="77777777" w:rsidR="00DD3AD8" w:rsidRDefault="00DD3AD8" w:rsidP="00DD3AD8">
      <w:pPr>
        <w:pStyle w:val="SOPLevel2"/>
      </w:pPr>
      <w:r>
        <w:t>When required provide the final determination to the funding or regulatory agencies.</w:t>
      </w:r>
    </w:p>
    <w:p w14:paraId="20775297" w14:textId="77777777" w:rsidR="00DD3AD8" w:rsidRDefault="00DD3AD8" w:rsidP="00DD3AD8">
      <w:pPr>
        <w:pStyle w:val="SOPLevel2"/>
      </w:pPr>
      <w:r>
        <w:t>Maintain a copy of determinations and management plans in the records.</w:t>
      </w:r>
    </w:p>
    <w:p w14:paraId="20775298" w14:textId="77777777" w:rsidR="0027369B" w:rsidRDefault="0027369B" w:rsidP="0027369B">
      <w:pPr>
        <w:pStyle w:val="SOPLevel1"/>
        <w:numPr>
          <w:ilvl w:val="0"/>
          <w:numId w:val="3"/>
        </w:numPr>
      </w:pPr>
      <w:r>
        <w:t>REFERENCES</w:t>
      </w:r>
    </w:p>
    <w:p w14:paraId="20775299" w14:textId="77777777" w:rsidR="00DD3AD8" w:rsidRDefault="00DD3AD8" w:rsidP="00DD3AD8">
      <w:pPr>
        <w:pStyle w:val="SOPLevel2"/>
      </w:pPr>
      <w:r>
        <w:t xml:space="preserve">42 CFR </w:t>
      </w:r>
      <w:r w:rsidRPr="00845308">
        <w:t>§</w:t>
      </w:r>
      <w:r>
        <w:t>50</w:t>
      </w:r>
    </w:p>
    <w:p w14:paraId="2077529A" w14:textId="77777777" w:rsidR="00D11D2F" w:rsidRPr="0027369B" w:rsidRDefault="00DD3AD8" w:rsidP="00737F0B">
      <w:pPr>
        <w:pStyle w:val="SOPLevel2"/>
      </w:pPr>
      <w:r w:rsidRPr="00E752AA">
        <w:t xml:space="preserve">45 CFR </w:t>
      </w:r>
      <w:r w:rsidRPr="00845308">
        <w:t>§</w:t>
      </w:r>
      <w:r w:rsidR="00AF54D3">
        <w:t>94</w:t>
      </w:r>
    </w:p>
    <w:sectPr w:rsidR="00D11D2F" w:rsidRPr="0027369B" w:rsidSect="0093159B">
      <w:headerReference w:type="default" r:id="rId11"/>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2CAAB" w14:textId="77777777" w:rsidR="005D73D2" w:rsidRDefault="005D73D2" w:rsidP="0093159B">
      <w:pPr>
        <w:spacing w:after="0" w:line="240" w:lineRule="auto"/>
      </w:pPr>
      <w:r>
        <w:separator/>
      </w:r>
    </w:p>
  </w:endnote>
  <w:endnote w:type="continuationSeparator" w:id="0">
    <w:p w14:paraId="06CC56E0" w14:textId="77777777" w:rsidR="005D73D2" w:rsidRDefault="005D73D2" w:rsidP="00931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752B4" w14:textId="47AF9880" w:rsidR="00956356" w:rsidRPr="008C4216" w:rsidRDefault="00D6469B" w:rsidP="008C4216">
    <w:pPr>
      <w:pStyle w:val="SOPFooter"/>
    </w:pPr>
    <w:r>
      <w:rPr>
        <w:rFonts w:ascii="Arial Narrow" w:hAnsi="Arial Narrow"/>
      </w:rPr>
      <w:t xml:space="preserve">This work is licensed by </w:t>
    </w:r>
    <w:hyperlink r:id="rId1" w:history="1">
      <w:r>
        <w:rPr>
          <w:rStyle w:val="Hyperlink"/>
          <w:rFonts w:ascii="Arial Narrow" w:hAnsi="Arial Narrow"/>
        </w:rPr>
        <w:t>WIRB Copernicus Group, Inc.</w:t>
      </w:r>
    </w:hyperlink>
    <w:r>
      <w:rPr>
        <w:rFonts w:ascii="Arial Narrow" w:hAnsi="Arial Narrow"/>
      </w:rPr>
      <w:t xml:space="preserve"> under a </w:t>
    </w:r>
    <w:hyperlink r:id="rId2" w:history="1">
      <w:r>
        <w:rPr>
          <w:rStyle w:val="Hyperlink"/>
          <w:rFonts w:ascii="Arial Narrow" w:hAnsi="Arial Narrow"/>
        </w:rPr>
        <w:t>Creative Commons Attribution-</w:t>
      </w:r>
      <w:proofErr w:type="spellStart"/>
      <w:r>
        <w:rPr>
          <w:rStyle w:val="Hyperlink"/>
          <w:rFonts w:ascii="Arial Narrow" w:hAnsi="Arial Narrow"/>
        </w:rPr>
        <w:t>NonCommercial</w:t>
      </w:r>
      <w:proofErr w:type="spellEnd"/>
      <w:r>
        <w:rPr>
          <w:rStyle w:val="Hyperlink"/>
          <w:rFonts w:ascii="Arial Narrow" w:hAnsi="Arial Narrow"/>
        </w:rPr>
        <w:t>-</w:t>
      </w:r>
      <w:proofErr w:type="spellStart"/>
      <w:r>
        <w:rPr>
          <w:rStyle w:val="Hyperlink"/>
          <w:rFonts w:ascii="Arial Narrow" w:hAnsi="Arial Narrow"/>
        </w:rPr>
        <w:t>ShareAlike</w:t>
      </w:r>
      <w:proofErr w:type="spellEnd"/>
      <w:r>
        <w:rPr>
          <w:rStyle w:val="Hyperlink"/>
          <w:rFonts w:ascii="Arial Narrow" w:hAnsi="Arial Narrow"/>
        </w:rPr>
        <w:t xml:space="preserve"> 4.0 International License</w:t>
      </w:r>
    </w:hyperlink>
    <w:r>
      <w:rPr>
        <w:rFonts w:ascii="Arial Narrow" w:hAnsi="Arial Narrow"/>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3A6DC" w14:textId="77777777" w:rsidR="005D73D2" w:rsidRDefault="005D73D2" w:rsidP="0093159B">
      <w:pPr>
        <w:spacing w:after="0" w:line="240" w:lineRule="auto"/>
      </w:pPr>
      <w:r>
        <w:separator/>
      </w:r>
    </w:p>
  </w:footnote>
  <w:footnote w:type="continuationSeparator" w:id="0">
    <w:p w14:paraId="598CE6DC" w14:textId="77777777" w:rsidR="005D73D2" w:rsidRDefault="005D73D2" w:rsidP="00931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1"/>
      <w:tblW w:w="5000" w:type="pct"/>
      <w:tblLayout w:type="fixed"/>
      <w:tblLook w:val="04A0" w:firstRow="1" w:lastRow="0" w:firstColumn="1" w:lastColumn="0" w:noHBand="0" w:noVBand="1"/>
    </w:tblPr>
    <w:tblGrid>
      <w:gridCol w:w="3399"/>
      <w:gridCol w:w="1489"/>
      <w:gridCol w:w="1489"/>
      <w:gridCol w:w="1489"/>
      <w:gridCol w:w="1489"/>
    </w:tblGrid>
    <w:tr w:rsidR="00E165C4" w:rsidRPr="00E165C4" w14:paraId="207752A2" w14:textId="77777777" w:rsidTr="00DB5B2F">
      <w:trPr>
        <w:cantSplit/>
        <w:trHeight w:hRule="exact" w:val="720"/>
      </w:trPr>
      <w:tc>
        <w:tcPr>
          <w:tcW w:w="3484" w:type="dxa"/>
          <w:vMerge w:val="restart"/>
          <w:tcBorders>
            <w:top w:val="nil"/>
            <w:left w:val="nil"/>
            <w:bottom w:val="nil"/>
            <w:right w:val="single" w:sz="4" w:space="0" w:color="auto"/>
          </w:tcBorders>
          <w:shd w:val="clear" w:color="auto" w:fill="auto"/>
          <w:vAlign w:val="center"/>
          <w:hideMark/>
        </w:tcPr>
        <w:p w14:paraId="207752A0" w14:textId="68CE165A" w:rsidR="00E165C4" w:rsidRPr="00E165C4" w:rsidRDefault="00AF7032" w:rsidP="00E165C4">
          <w:pPr>
            <w:tabs>
              <w:tab w:val="right" w:pos="2178"/>
            </w:tabs>
            <w:jc w:val="center"/>
            <w:rPr>
              <w:rFonts w:ascii="Arial" w:hAnsi="Arial" w:cs="Arial"/>
              <w:b/>
              <w:bCs/>
              <w:color w:val="FFFFFF" w:themeColor="background1"/>
            </w:rPr>
          </w:pPr>
          <w:r>
            <w:rPr>
              <w:rFonts w:ascii="Arial" w:hAnsi="Arial" w:cs="Arial"/>
              <w:b/>
              <w:bCs/>
              <w:noProof/>
              <w:color w:val="FFFFFF" w:themeColor="background1"/>
            </w:rPr>
            <w:drawing>
              <wp:inline distT="0" distB="0" distL="0" distR="0" wp14:anchorId="453C79B3" wp14:editId="71D9B891">
                <wp:extent cx="2194560"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ksheet logo.jpg"/>
                        <pic:cNvPicPr/>
                      </pic:nvPicPr>
                      <pic:blipFill>
                        <a:blip r:embed="rId1">
                          <a:extLst>
                            <a:ext uri="{28A0092B-C50C-407E-A947-70E740481C1C}">
                              <a14:useLocalDpi xmlns:a14="http://schemas.microsoft.com/office/drawing/2010/main" val="0"/>
                            </a:ext>
                          </a:extLst>
                        </a:blip>
                        <a:stretch>
                          <a:fillRect/>
                        </a:stretch>
                      </pic:blipFill>
                      <pic:spPr>
                        <a:xfrm>
                          <a:off x="0" y="0"/>
                          <a:ext cx="2194560" cy="640080"/>
                        </a:xfrm>
                        <a:prstGeom prst="rect">
                          <a:avLst/>
                        </a:prstGeom>
                      </pic:spPr>
                    </pic:pic>
                  </a:graphicData>
                </a:graphic>
              </wp:inline>
            </w:drawing>
          </w:r>
        </w:p>
      </w:tc>
      <w:tc>
        <w:tcPr>
          <w:tcW w:w="6092" w:type="dxa"/>
          <w:gridSpan w:val="4"/>
          <w:tcBorders>
            <w:top w:val="single" w:sz="4" w:space="0" w:color="auto"/>
            <w:left w:val="single" w:sz="4" w:space="0" w:color="auto"/>
            <w:bottom w:val="single" w:sz="4" w:space="0" w:color="auto"/>
            <w:right w:val="single" w:sz="4" w:space="0" w:color="auto"/>
          </w:tcBorders>
          <w:vAlign w:val="center"/>
          <w:hideMark/>
        </w:tcPr>
        <w:p w14:paraId="207752A1" w14:textId="77777777" w:rsidR="00E165C4" w:rsidRPr="00E165C4" w:rsidRDefault="00E165C4" w:rsidP="00E165C4">
          <w:pPr>
            <w:rPr>
              <w:rFonts w:ascii="Arial" w:hAnsi="Arial" w:cs="Arial"/>
              <w:b/>
              <w:bCs/>
              <w:sz w:val="28"/>
              <w:szCs w:val="28"/>
            </w:rPr>
          </w:pPr>
          <w:r w:rsidRPr="00E165C4">
            <w:rPr>
              <w:rFonts w:ascii="Arial" w:hAnsi="Arial" w:cs="Arial"/>
              <w:b/>
              <w:bCs/>
              <w:sz w:val="28"/>
              <w:szCs w:val="28"/>
            </w:rPr>
            <w:fldChar w:fldCharType="begin"/>
          </w:r>
          <w:r w:rsidRPr="00E165C4">
            <w:rPr>
              <w:rFonts w:ascii="Arial" w:hAnsi="Arial" w:cs="Arial"/>
              <w:b/>
              <w:bCs/>
              <w:sz w:val="28"/>
              <w:szCs w:val="28"/>
            </w:rPr>
            <w:instrText xml:space="preserve"> TITLE   \* MERGEFORMAT </w:instrText>
          </w:r>
          <w:r w:rsidRPr="00E165C4">
            <w:rPr>
              <w:rFonts w:ascii="Arial" w:hAnsi="Arial" w:cs="Arial"/>
              <w:b/>
              <w:bCs/>
              <w:sz w:val="28"/>
              <w:szCs w:val="28"/>
            </w:rPr>
            <w:fldChar w:fldCharType="separate"/>
          </w:r>
          <w:r w:rsidR="00D11546">
            <w:rPr>
              <w:rFonts w:ascii="Arial" w:hAnsi="Arial" w:cs="Arial"/>
              <w:b/>
              <w:bCs/>
              <w:sz w:val="28"/>
              <w:szCs w:val="28"/>
            </w:rPr>
            <w:t>SOP: Management of Financial Interests</w:t>
          </w:r>
          <w:r w:rsidRPr="00E165C4">
            <w:rPr>
              <w:rFonts w:ascii="Arial" w:hAnsi="Arial" w:cs="Arial"/>
              <w:b/>
              <w:bCs/>
              <w:sz w:val="28"/>
              <w:szCs w:val="28"/>
            </w:rPr>
            <w:fldChar w:fldCharType="end"/>
          </w:r>
        </w:p>
      </w:tc>
    </w:tr>
    <w:tr w:rsidR="00E165C4" w:rsidRPr="00E165C4" w14:paraId="207752A8" w14:textId="77777777" w:rsidTr="00DB5B2F">
      <w:trPr>
        <w:cantSplit/>
        <w:trHeight w:hRule="exact" w:val="216"/>
      </w:trPr>
      <w:tc>
        <w:tcPr>
          <w:tcW w:w="3484" w:type="dxa"/>
          <w:vMerge/>
          <w:tcBorders>
            <w:top w:val="single" w:sz="4" w:space="0" w:color="auto"/>
            <w:left w:val="nil"/>
            <w:bottom w:val="nil"/>
            <w:right w:val="single" w:sz="4" w:space="0" w:color="auto"/>
          </w:tcBorders>
          <w:shd w:val="clear" w:color="auto" w:fill="auto"/>
          <w:vAlign w:val="center"/>
          <w:hideMark/>
        </w:tcPr>
        <w:p w14:paraId="207752A3" w14:textId="77777777" w:rsidR="00E165C4" w:rsidRPr="00E165C4" w:rsidRDefault="00E165C4" w:rsidP="00E165C4">
          <w:pPr>
            <w:rPr>
              <w:rFonts w:ascii="Arial" w:hAnsi="Arial" w:cs="Arial"/>
              <w:b/>
              <w:bCs/>
              <w:color w:val="FFFFFF" w:themeColor="background1"/>
            </w:rPr>
          </w:pP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7752A4" w14:textId="77777777" w:rsidR="00E165C4" w:rsidRPr="00E165C4" w:rsidRDefault="00E165C4" w:rsidP="00FA4450">
          <w:pPr>
            <w:pStyle w:val="SOPTableHeader"/>
          </w:pPr>
          <w:r w:rsidRPr="00E165C4">
            <w:t>Document No.:</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7752A5" w14:textId="77777777" w:rsidR="00E165C4" w:rsidRPr="00E165C4" w:rsidRDefault="00E165C4" w:rsidP="00FA4450">
          <w:pPr>
            <w:pStyle w:val="SOPTableHeader"/>
          </w:pPr>
          <w:r w:rsidRPr="00E165C4">
            <w:t>Edition No.:</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7752A6" w14:textId="77777777" w:rsidR="00E165C4" w:rsidRPr="00E165C4" w:rsidRDefault="00E165C4" w:rsidP="00FA4450">
          <w:pPr>
            <w:pStyle w:val="SOPTableHeader"/>
          </w:pPr>
          <w:r w:rsidRPr="00E165C4">
            <w:t>Effective Date:</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7752A7" w14:textId="77777777" w:rsidR="00E165C4" w:rsidRPr="00E165C4" w:rsidRDefault="00E165C4" w:rsidP="00FA4450">
          <w:pPr>
            <w:pStyle w:val="SOPTableHeader"/>
          </w:pPr>
          <w:r w:rsidRPr="00E165C4">
            <w:t>Page:</w:t>
          </w:r>
        </w:p>
      </w:tc>
    </w:tr>
    <w:tr w:rsidR="00E165C4" w:rsidRPr="00E165C4" w14:paraId="207752AE" w14:textId="77777777" w:rsidTr="00B97E4E">
      <w:trPr>
        <w:cantSplit/>
        <w:trHeight w:hRule="exact" w:val="360"/>
      </w:trPr>
      <w:tc>
        <w:tcPr>
          <w:tcW w:w="3484" w:type="dxa"/>
          <w:vMerge/>
          <w:tcBorders>
            <w:top w:val="single" w:sz="4" w:space="0" w:color="auto"/>
            <w:left w:val="nil"/>
            <w:bottom w:val="nil"/>
            <w:right w:val="single" w:sz="4" w:space="0" w:color="auto"/>
          </w:tcBorders>
          <w:shd w:val="clear" w:color="auto" w:fill="auto"/>
          <w:vAlign w:val="center"/>
          <w:hideMark/>
        </w:tcPr>
        <w:p w14:paraId="207752A9" w14:textId="77777777" w:rsidR="00E165C4" w:rsidRPr="00E165C4" w:rsidRDefault="00E165C4" w:rsidP="00E165C4">
          <w:pPr>
            <w:rPr>
              <w:rFonts w:ascii="Arial" w:hAnsi="Arial" w:cs="Arial"/>
              <w:b/>
              <w:bCs/>
              <w:color w:val="FFFFFF" w:themeColor="background1"/>
            </w:rPr>
          </w:pPr>
        </w:p>
      </w:tc>
      <w:tc>
        <w:tcPr>
          <w:tcW w:w="1523" w:type="dxa"/>
          <w:tcBorders>
            <w:top w:val="single" w:sz="4" w:space="0" w:color="auto"/>
            <w:left w:val="single" w:sz="4" w:space="0" w:color="auto"/>
            <w:bottom w:val="single" w:sz="4" w:space="0" w:color="auto"/>
            <w:right w:val="single" w:sz="4" w:space="0" w:color="auto"/>
          </w:tcBorders>
          <w:vAlign w:val="center"/>
          <w:hideMark/>
        </w:tcPr>
        <w:p w14:paraId="207752AA" w14:textId="77777777" w:rsidR="00E165C4" w:rsidRPr="00E165C4" w:rsidRDefault="005D73D2" w:rsidP="00FA4450">
          <w:pPr>
            <w:pStyle w:val="SOPTableItemBold"/>
          </w:pPr>
          <w:r>
            <w:fldChar w:fldCharType="begin"/>
          </w:r>
          <w:r>
            <w:instrText xml:space="preserve"> SUBJECT   \* MERGEFORMAT </w:instrText>
          </w:r>
          <w:r>
            <w:fldChar w:fldCharType="separate"/>
          </w:r>
          <w:r w:rsidR="00D11546">
            <w:t>HRP-120</w:t>
          </w:r>
          <w:r>
            <w:fldChar w:fldCharType="end"/>
          </w:r>
        </w:p>
      </w:tc>
      <w:tc>
        <w:tcPr>
          <w:tcW w:w="1523" w:type="dxa"/>
          <w:tcBorders>
            <w:top w:val="single" w:sz="4" w:space="0" w:color="auto"/>
            <w:left w:val="single" w:sz="4" w:space="0" w:color="auto"/>
            <w:bottom w:val="single" w:sz="4" w:space="0" w:color="auto"/>
            <w:right w:val="single" w:sz="4" w:space="0" w:color="auto"/>
          </w:tcBorders>
          <w:vAlign w:val="center"/>
          <w:hideMark/>
        </w:tcPr>
        <w:p w14:paraId="207752AB" w14:textId="6338210D" w:rsidR="00E165C4" w:rsidRPr="00E165C4" w:rsidRDefault="00E165C4" w:rsidP="00FA4450">
          <w:pPr>
            <w:pStyle w:val="SOPTableItemBold"/>
          </w:pPr>
          <w:r w:rsidRPr="00E165C4">
            <w:t>00</w:t>
          </w:r>
          <w:r w:rsidR="00AF7032">
            <w:t>2</w:t>
          </w:r>
        </w:p>
      </w:tc>
      <w:tc>
        <w:tcPr>
          <w:tcW w:w="152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07752AC" w14:textId="154A08AA" w:rsidR="00E165C4" w:rsidRPr="00E165C4" w:rsidRDefault="00AF7032" w:rsidP="00FA4450">
          <w:pPr>
            <w:pStyle w:val="SOPTableItemBold"/>
          </w:pPr>
          <w:r>
            <w:t>01 Feb 2021</w:t>
          </w:r>
          <w:r w:rsidR="00DC2B28">
            <w:fldChar w:fldCharType="begin"/>
          </w:r>
          <w:r w:rsidR="00DC2B28">
            <w:instrText xml:space="preserve"> COMMENTS   \* MERGEFORMAT </w:instrText>
          </w:r>
          <w:r w:rsidR="00DC2B28">
            <w:fldChar w:fldCharType="end"/>
          </w:r>
        </w:p>
      </w:tc>
      <w:tc>
        <w:tcPr>
          <w:tcW w:w="1523" w:type="dxa"/>
          <w:tcBorders>
            <w:top w:val="single" w:sz="4" w:space="0" w:color="auto"/>
            <w:left w:val="single" w:sz="4" w:space="0" w:color="auto"/>
            <w:bottom w:val="single" w:sz="4" w:space="0" w:color="auto"/>
            <w:right w:val="single" w:sz="4" w:space="0" w:color="auto"/>
          </w:tcBorders>
          <w:vAlign w:val="center"/>
          <w:hideMark/>
        </w:tcPr>
        <w:p w14:paraId="207752AD" w14:textId="7DF9E961" w:rsidR="00E165C4" w:rsidRPr="00E165C4" w:rsidRDefault="00E165C4" w:rsidP="00FA4450">
          <w:pPr>
            <w:pStyle w:val="SOPTableItemBold"/>
          </w:pPr>
          <w:r w:rsidRPr="00E165C4">
            <w:t xml:space="preserve">Page </w:t>
          </w:r>
          <w:r w:rsidRPr="00E165C4">
            <w:fldChar w:fldCharType="begin"/>
          </w:r>
          <w:r w:rsidRPr="00E165C4">
            <w:instrText xml:space="preserve"> PAGE  \* Arabic  \* MERGEFORMAT </w:instrText>
          </w:r>
          <w:r w:rsidRPr="00E165C4">
            <w:fldChar w:fldCharType="separate"/>
          </w:r>
          <w:r w:rsidR="002E35D2">
            <w:t>3</w:t>
          </w:r>
          <w:r w:rsidRPr="00E165C4">
            <w:fldChar w:fldCharType="end"/>
          </w:r>
          <w:r w:rsidRPr="00E165C4">
            <w:t xml:space="preserve"> of </w:t>
          </w:r>
          <w:r w:rsidR="005D73D2">
            <w:fldChar w:fldCharType="begin"/>
          </w:r>
          <w:r w:rsidR="005D73D2">
            <w:instrText xml:space="preserve"> NUMPAGES  \* Arabic  \* MERGEFORMAT </w:instrText>
          </w:r>
          <w:r w:rsidR="005D73D2">
            <w:fldChar w:fldCharType="separate"/>
          </w:r>
          <w:r w:rsidR="002E35D2">
            <w:t>3</w:t>
          </w:r>
          <w:r w:rsidR="005D73D2">
            <w:fldChar w:fldCharType="end"/>
          </w:r>
        </w:p>
      </w:tc>
    </w:tr>
  </w:tbl>
  <w:p w14:paraId="207752AF" w14:textId="77777777" w:rsidR="00E165C4" w:rsidRPr="00E165C4" w:rsidRDefault="00E165C4" w:rsidP="00E165C4">
    <w:pPr>
      <w:tabs>
        <w:tab w:val="center" w:pos="4680"/>
        <w:tab w:val="right" w:pos="9360"/>
      </w:tabs>
      <w:spacing w:after="0" w:line="240" w:lineRule="auto"/>
      <w:rPr>
        <w:rFonts w:ascii="Calibri" w:eastAsia="Calibri" w:hAnsi="Calibri" w:cs="Times New Roman"/>
        <w:sz w:val="2"/>
        <w:szCs w:val="2"/>
      </w:rPr>
    </w:pPr>
    <w:r w:rsidRPr="00E165C4">
      <w:rPr>
        <w:rFonts w:ascii="Calibri" w:eastAsia="Calibri" w:hAnsi="Calibri" w:cs="Times New Roman"/>
        <w:sz w:val="2"/>
        <w:szCs w:val="2"/>
      </w:rPr>
      <w:tab/>
    </w:r>
  </w:p>
  <w:p w14:paraId="207752B0" w14:textId="77777777" w:rsidR="00E165C4" w:rsidRPr="00E165C4" w:rsidRDefault="00E165C4" w:rsidP="00E165C4">
    <w:pPr>
      <w:tabs>
        <w:tab w:val="center" w:pos="4680"/>
        <w:tab w:val="right" w:pos="9360"/>
      </w:tabs>
      <w:spacing w:after="0" w:line="240" w:lineRule="auto"/>
      <w:rPr>
        <w:rFonts w:ascii="Calibri" w:eastAsia="Calibri" w:hAnsi="Calibri" w:cs="Times New Roman"/>
        <w:sz w:val="2"/>
        <w:szCs w:val="2"/>
      </w:rPr>
    </w:pPr>
  </w:p>
  <w:p w14:paraId="207752B1" w14:textId="77777777" w:rsidR="00E165C4" w:rsidRPr="00E165C4" w:rsidRDefault="00E165C4" w:rsidP="00E165C4">
    <w:pPr>
      <w:tabs>
        <w:tab w:val="center" w:pos="4680"/>
        <w:tab w:val="right" w:pos="9360"/>
      </w:tabs>
      <w:spacing w:after="0" w:line="240" w:lineRule="auto"/>
      <w:rPr>
        <w:rFonts w:ascii="Calibri" w:eastAsia="Calibri" w:hAnsi="Calibri" w:cs="Times New Roman"/>
        <w:sz w:val="2"/>
      </w:rPr>
    </w:pPr>
  </w:p>
  <w:p w14:paraId="207752B2" w14:textId="77777777" w:rsidR="006D21A8" w:rsidRPr="00E165C4" w:rsidRDefault="006D21A8" w:rsidP="00E165C4">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D3CB5"/>
    <w:multiLevelType w:val="hybridMultilevel"/>
    <w:tmpl w:val="38EA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B53E6"/>
    <w:multiLevelType w:val="multilevel"/>
    <w:tmpl w:val="85B61102"/>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1152" w:hanging="576"/>
      </w:pPr>
      <w:rPr>
        <w:rFonts w:hint="default"/>
      </w:rPr>
    </w:lvl>
    <w:lvl w:ilvl="2">
      <w:start w:val="1"/>
      <w:numFmt w:val="decimal"/>
      <w:pStyle w:val="SOPLevel3"/>
      <w:lvlText w:val="%1.%2.%3."/>
      <w:lvlJc w:val="left"/>
      <w:pPr>
        <w:ind w:left="2016" w:hanging="864"/>
      </w:pPr>
      <w:rPr>
        <w:rFonts w:hint="default"/>
      </w:rPr>
    </w:lvl>
    <w:lvl w:ilvl="3">
      <w:start w:val="1"/>
      <w:numFmt w:val="decimal"/>
      <w:pStyle w:val="SOPLevel4"/>
      <w:lvlText w:val="%1.%2.%3.%4."/>
      <w:lvlJc w:val="left"/>
      <w:pPr>
        <w:tabs>
          <w:tab w:val="num" w:pos="2016"/>
        </w:tabs>
        <w:ind w:left="3168" w:hanging="1152"/>
      </w:pPr>
      <w:rPr>
        <w:rFonts w:hint="default"/>
      </w:rPr>
    </w:lvl>
    <w:lvl w:ilvl="4">
      <w:start w:val="1"/>
      <w:numFmt w:val="decimal"/>
      <w:pStyle w:val="SOPLevel5"/>
      <w:lvlText w:val="%1.%2.%3.%4.%5."/>
      <w:lvlJc w:val="left"/>
      <w:pPr>
        <w:tabs>
          <w:tab w:val="num" w:pos="3168"/>
        </w:tabs>
        <w:ind w:left="4608"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0187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2B61D78"/>
    <w:multiLevelType w:val="multilevel"/>
    <w:tmpl w:val="DC702E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28"/>
        </w:tabs>
        <w:ind w:left="792" w:firstLine="144"/>
      </w:pPr>
      <w:rPr>
        <w:rFonts w:hint="default"/>
        <w:b w:val="0"/>
        <w:i w:val="0"/>
        <w:sz w:val="20"/>
        <w:szCs w:val="20"/>
      </w:rPr>
    </w:lvl>
    <w:lvl w:ilvl="3">
      <w:start w:val="1"/>
      <w:numFmt w:val="decimal"/>
      <w:lvlText w:val="%1.%2.%3.%4"/>
      <w:lvlJc w:val="left"/>
      <w:pPr>
        <w:tabs>
          <w:tab w:val="num" w:pos="2898"/>
        </w:tabs>
        <w:ind w:left="1170" w:firstLine="720"/>
      </w:pPr>
      <w:rPr>
        <w:rFonts w:hint="default"/>
        <w:b w:val="0"/>
        <w:i w:val="0"/>
        <w:strike w:val="0"/>
        <w:dstrike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1"/>
  </w:num>
  <w:num w:numId="7">
    <w:abstractNumId w:val="1"/>
  </w:num>
  <w:num w:numId="8">
    <w:abstractNumId w:val="1"/>
  </w:num>
  <w:num w:numId="9">
    <w:abstractNumId w:val="1"/>
  </w:num>
  <w:num w:numId="10">
    <w:abstractNumId w:val="1"/>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t4IvSWu3PohfL7aUaFWn+uh9JSzxWOqPnZlebgu0ECOAnb1a0spO9C3ajTUenWK6BSaFD/O03J8W82DcnKCYKg==" w:salt="g/5h/2yFrCsPMcjRLyvT7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1B757AA-652A-4E8D-B1DA-4E6E5BD42B57}"/>
    <w:docVar w:name="dgnword-eventsink" w:val="616904232"/>
  </w:docVars>
  <w:rsids>
    <w:rsidRoot w:val="00E95BBF"/>
    <w:rsid w:val="00012FB6"/>
    <w:rsid w:val="00016E75"/>
    <w:rsid w:val="000404B6"/>
    <w:rsid w:val="00046BF4"/>
    <w:rsid w:val="000551E3"/>
    <w:rsid w:val="00064708"/>
    <w:rsid w:val="0007426F"/>
    <w:rsid w:val="00075689"/>
    <w:rsid w:val="00085C89"/>
    <w:rsid w:val="000B03D7"/>
    <w:rsid w:val="000D5B18"/>
    <w:rsid w:val="000E1AC8"/>
    <w:rsid w:val="000E3502"/>
    <w:rsid w:val="001039BA"/>
    <w:rsid w:val="00130AC3"/>
    <w:rsid w:val="0013294A"/>
    <w:rsid w:val="00154BCC"/>
    <w:rsid w:val="001725AA"/>
    <w:rsid w:val="00173CFA"/>
    <w:rsid w:val="00185B30"/>
    <w:rsid w:val="001A35A4"/>
    <w:rsid w:val="001A5996"/>
    <w:rsid w:val="001A5A2A"/>
    <w:rsid w:val="001A60B2"/>
    <w:rsid w:val="001B1AAC"/>
    <w:rsid w:val="001B2264"/>
    <w:rsid w:val="001C3FF9"/>
    <w:rsid w:val="001C443A"/>
    <w:rsid w:val="001F1329"/>
    <w:rsid w:val="001F4C84"/>
    <w:rsid w:val="0020344B"/>
    <w:rsid w:val="00223FDC"/>
    <w:rsid w:val="0023550F"/>
    <w:rsid w:val="0027369B"/>
    <w:rsid w:val="00282D03"/>
    <w:rsid w:val="002D06A0"/>
    <w:rsid w:val="002D4539"/>
    <w:rsid w:val="002D79DE"/>
    <w:rsid w:val="002E318D"/>
    <w:rsid w:val="002E35D2"/>
    <w:rsid w:val="003105FA"/>
    <w:rsid w:val="00311566"/>
    <w:rsid w:val="00332ADF"/>
    <w:rsid w:val="00354910"/>
    <w:rsid w:val="00375A4E"/>
    <w:rsid w:val="003A6D7B"/>
    <w:rsid w:val="003A7F1F"/>
    <w:rsid w:val="003B4AD5"/>
    <w:rsid w:val="003B6359"/>
    <w:rsid w:val="003D119F"/>
    <w:rsid w:val="003D226A"/>
    <w:rsid w:val="003F7049"/>
    <w:rsid w:val="0042060F"/>
    <w:rsid w:val="004248B4"/>
    <w:rsid w:val="0043076B"/>
    <w:rsid w:val="00454749"/>
    <w:rsid w:val="00456A53"/>
    <w:rsid w:val="00466735"/>
    <w:rsid w:val="00471289"/>
    <w:rsid w:val="0049615A"/>
    <w:rsid w:val="004A3042"/>
    <w:rsid w:val="004A363C"/>
    <w:rsid w:val="004B4B21"/>
    <w:rsid w:val="004B50C7"/>
    <w:rsid w:val="004B523F"/>
    <w:rsid w:val="004C046E"/>
    <w:rsid w:val="004C12D5"/>
    <w:rsid w:val="004C13EF"/>
    <w:rsid w:val="004C34F6"/>
    <w:rsid w:val="004C5E5C"/>
    <w:rsid w:val="004C7856"/>
    <w:rsid w:val="004D2771"/>
    <w:rsid w:val="004E4A91"/>
    <w:rsid w:val="004F7D0C"/>
    <w:rsid w:val="005259F7"/>
    <w:rsid w:val="00527EF2"/>
    <w:rsid w:val="00527F1F"/>
    <w:rsid w:val="00563DAB"/>
    <w:rsid w:val="005753E7"/>
    <w:rsid w:val="005A0F0A"/>
    <w:rsid w:val="005A1699"/>
    <w:rsid w:val="005B6E88"/>
    <w:rsid w:val="005D6164"/>
    <w:rsid w:val="005D73D2"/>
    <w:rsid w:val="006013BC"/>
    <w:rsid w:val="00607C65"/>
    <w:rsid w:val="006257B3"/>
    <w:rsid w:val="006460C9"/>
    <w:rsid w:val="0065231B"/>
    <w:rsid w:val="00652560"/>
    <w:rsid w:val="00661C12"/>
    <w:rsid w:val="006629C8"/>
    <w:rsid w:val="006656DC"/>
    <w:rsid w:val="00667E43"/>
    <w:rsid w:val="00692932"/>
    <w:rsid w:val="006A116B"/>
    <w:rsid w:val="006B16A0"/>
    <w:rsid w:val="006C2661"/>
    <w:rsid w:val="006D21A8"/>
    <w:rsid w:val="006D2E9A"/>
    <w:rsid w:val="006D48D5"/>
    <w:rsid w:val="00722EB4"/>
    <w:rsid w:val="00726394"/>
    <w:rsid w:val="00737F0B"/>
    <w:rsid w:val="007471DF"/>
    <w:rsid w:val="00757358"/>
    <w:rsid w:val="00774C40"/>
    <w:rsid w:val="00787DFD"/>
    <w:rsid w:val="00792B4E"/>
    <w:rsid w:val="007938CD"/>
    <w:rsid w:val="007A06EB"/>
    <w:rsid w:val="007A3FF5"/>
    <w:rsid w:val="007D062D"/>
    <w:rsid w:val="007F475D"/>
    <w:rsid w:val="008053FB"/>
    <w:rsid w:val="00810284"/>
    <w:rsid w:val="008216EE"/>
    <w:rsid w:val="00826083"/>
    <w:rsid w:val="00833BD3"/>
    <w:rsid w:val="00862143"/>
    <w:rsid w:val="00867BF2"/>
    <w:rsid w:val="00873599"/>
    <w:rsid w:val="008B6F01"/>
    <w:rsid w:val="008C4216"/>
    <w:rsid w:val="008C5C39"/>
    <w:rsid w:val="008D250E"/>
    <w:rsid w:val="008F0280"/>
    <w:rsid w:val="008F4190"/>
    <w:rsid w:val="00907067"/>
    <w:rsid w:val="00916E2D"/>
    <w:rsid w:val="0093159B"/>
    <w:rsid w:val="00935262"/>
    <w:rsid w:val="009358B3"/>
    <w:rsid w:val="00935A77"/>
    <w:rsid w:val="00947E0C"/>
    <w:rsid w:val="00954F9A"/>
    <w:rsid w:val="00956356"/>
    <w:rsid w:val="00986096"/>
    <w:rsid w:val="009A0A2E"/>
    <w:rsid w:val="009C17B2"/>
    <w:rsid w:val="009C246E"/>
    <w:rsid w:val="009C2950"/>
    <w:rsid w:val="009C7F79"/>
    <w:rsid w:val="009D3DE8"/>
    <w:rsid w:val="009F3D59"/>
    <w:rsid w:val="009F7CEF"/>
    <w:rsid w:val="00A02EDD"/>
    <w:rsid w:val="00A06A4C"/>
    <w:rsid w:val="00A06EB8"/>
    <w:rsid w:val="00A1249D"/>
    <w:rsid w:val="00A438F8"/>
    <w:rsid w:val="00A43988"/>
    <w:rsid w:val="00A4499E"/>
    <w:rsid w:val="00A4717B"/>
    <w:rsid w:val="00A51D25"/>
    <w:rsid w:val="00A524C7"/>
    <w:rsid w:val="00A52829"/>
    <w:rsid w:val="00A538F0"/>
    <w:rsid w:val="00A644E7"/>
    <w:rsid w:val="00A7790B"/>
    <w:rsid w:val="00A82350"/>
    <w:rsid w:val="00A8403A"/>
    <w:rsid w:val="00A876AD"/>
    <w:rsid w:val="00A9146B"/>
    <w:rsid w:val="00AC6DFD"/>
    <w:rsid w:val="00AD66B1"/>
    <w:rsid w:val="00AE0FA9"/>
    <w:rsid w:val="00AE1E60"/>
    <w:rsid w:val="00AF24CF"/>
    <w:rsid w:val="00AF2FE8"/>
    <w:rsid w:val="00AF54D3"/>
    <w:rsid w:val="00AF7032"/>
    <w:rsid w:val="00B035CA"/>
    <w:rsid w:val="00B037DA"/>
    <w:rsid w:val="00B06F26"/>
    <w:rsid w:val="00B12110"/>
    <w:rsid w:val="00B22FEC"/>
    <w:rsid w:val="00B23176"/>
    <w:rsid w:val="00B3037C"/>
    <w:rsid w:val="00B551C1"/>
    <w:rsid w:val="00B739AF"/>
    <w:rsid w:val="00B82628"/>
    <w:rsid w:val="00B96736"/>
    <w:rsid w:val="00B969A4"/>
    <w:rsid w:val="00B97E4E"/>
    <w:rsid w:val="00BC75FF"/>
    <w:rsid w:val="00BC79E9"/>
    <w:rsid w:val="00BD0064"/>
    <w:rsid w:val="00BD62CE"/>
    <w:rsid w:val="00BE3293"/>
    <w:rsid w:val="00BF7355"/>
    <w:rsid w:val="00BF764C"/>
    <w:rsid w:val="00C14589"/>
    <w:rsid w:val="00C164FC"/>
    <w:rsid w:val="00C33B73"/>
    <w:rsid w:val="00C36FC5"/>
    <w:rsid w:val="00C37500"/>
    <w:rsid w:val="00C441DF"/>
    <w:rsid w:val="00C7455C"/>
    <w:rsid w:val="00C76522"/>
    <w:rsid w:val="00C974C6"/>
    <w:rsid w:val="00CB3405"/>
    <w:rsid w:val="00CB7837"/>
    <w:rsid w:val="00CC799A"/>
    <w:rsid w:val="00CE702A"/>
    <w:rsid w:val="00CE72C4"/>
    <w:rsid w:val="00D10EF7"/>
    <w:rsid w:val="00D11546"/>
    <w:rsid w:val="00D11D2F"/>
    <w:rsid w:val="00D207B6"/>
    <w:rsid w:val="00D25A90"/>
    <w:rsid w:val="00D263F1"/>
    <w:rsid w:val="00D37174"/>
    <w:rsid w:val="00D43522"/>
    <w:rsid w:val="00D514F0"/>
    <w:rsid w:val="00D565CD"/>
    <w:rsid w:val="00D6469B"/>
    <w:rsid w:val="00D80F53"/>
    <w:rsid w:val="00D82A96"/>
    <w:rsid w:val="00D83094"/>
    <w:rsid w:val="00D86D95"/>
    <w:rsid w:val="00D923C4"/>
    <w:rsid w:val="00D944D0"/>
    <w:rsid w:val="00DA1A72"/>
    <w:rsid w:val="00DA20BA"/>
    <w:rsid w:val="00DB3026"/>
    <w:rsid w:val="00DB5B2F"/>
    <w:rsid w:val="00DC2B28"/>
    <w:rsid w:val="00DD2A9E"/>
    <w:rsid w:val="00DD3AD8"/>
    <w:rsid w:val="00DD4EE3"/>
    <w:rsid w:val="00DF0EDD"/>
    <w:rsid w:val="00DF2C9C"/>
    <w:rsid w:val="00DF3D4A"/>
    <w:rsid w:val="00E00D6A"/>
    <w:rsid w:val="00E02C26"/>
    <w:rsid w:val="00E165C4"/>
    <w:rsid w:val="00E363A7"/>
    <w:rsid w:val="00E610D4"/>
    <w:rsid w:val="00E63C7C"/>
    <w:rsid w:val="00E83E40"/>
    <w:rsid w:val="00E8719A"/>
    <w:rsid w:val="00E949CF"/>
    <w:rsid w:val="00E95BBF"/>
    <w:rsid w:val="00EB0254"/>
    <w:rsid w:val="00EB2241"/>
    <w:rsid w:val="00EB7D22"/>
    <w:rsid w:val="00ED0ABB"/>
    <w:rsid w:val="00ED4CFC"/>
    <w:rsid w:val="00EE0D4F"/>
    <w:rsid w:val="00EF64B1"/>
    <w:rsid w:val="00EF7AB5"/>
    <w:rsid w:val="00F004D7"/>
    <w:rsid w:val="00F01E3A"/>
    <w:rsid w:val="00F32132"/>
    <w:rsid w:val="00F43203"/>
    <w:rsid w:val="00F65A07"/>
    <w:rsid w:val="00F855D6"/>
    <w:rsid w:val="00F930EE"/>
    <w:rsid w:val="00FA3A9C"/>
    <w:rsid w:val="00FA4450"/>
    <w:rsid w:val="00FA76FB"/>
    <w:rsid w:val="00FC67FF"/>
    <w:rsid w:val="00FE374D"/>
    <w:rsid w:val="00FF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75269"/>
  <w15:docId w15:val="{DC8AB4F4-5202-4BD6-8FC8-56ABC08D9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4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59B"/>
  </w:style>
  <w:style w:type="paragraph" w:styleId="Footer">
    <w:name w:val="footer"/>
    <w:basedOn w:val="Normal"/>
    <w:link w:val="FooterChar"/>
    <w:uiPriority w:val="99"/>
    <w:unhideWhenUsed/>
    <w:rsid w:val="00931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59B"/>
  </w:style>
  <w:style w:type="table" w:styleId="TableGrid">
    <w:name w:val="Table Grid"/>
    <w:basedOn w:val="TableNormal"/>
    <w:uiPriority w:val="59"/>
    <w:rsid w:val="0093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59B"/>
    <w:rPr>
      <w:rFonts w:ascii="Tahoma" w:hAnsi="Tahoma" w:cs="Tahoma"/>
      <w:sz w:val="16"/>
      <w:szCs w:val="16"/>
    </w:rPr>
  </w:style>
  <w:style w:type="paragraph" w:customStyle="1" w:styleId="SOPBasis">
    <w:name w:val="SOP Basis"/>
    <w:basedOn w:val="Normal"/>
    <w:qFormat/>
    <w:rsid w:val="00F004D7"/>
    <w:pPr>
      <w:spacing w:after="0" w:line="240" w:lineRule="auto"/>
    </w:pPr>
    <w:rPr>
      <w:rFonts w:ascii="Arial" w:hAnsi="Arial" w:cs="Arial"/>
      <w:sz w:val="20"/>
      <w:szCs w:val="20"/>
    </w:rPr>
  </w:style>
  <w:style w:type="paragraph" w:customStyle="1" w:styleId="SOPProprietary">
    <w:name w:val="SOP Proprietary"/>
    <w:basedOn w:val="SOPBasis"/>
    <w:next w:val="SOPBasis"/>
    <w:qFormat/>
    <w:rsid w:val="00F004D7"/>
    <w:pPr>
      <w:tabs>
        <w:tab w:val="right" w:pos="9360"/>
      </w:tabs>
      <w:autoSpaceDE w:val="0"/>
      <w:autoSpaceDN w:val="0"/>
      <w:adjustRightInd w:val="0"/>
      <w:jc w:val="center"/>
    </w:pPr>
    <w:rPr>
      <w:rFonts w:ascii="Arial Narrow" w:hAnsi="Arial Narrow"/>
      <w:smallCaps/>
      <w:color w:val="FF0000"/>
      <w:spacing w:val="30"/>
    </w:rPr>
  </w:style>
  <w:style w:type="paragraph" w:customStyle="1" w:styleId="SOPDesignation">
    <w:name w:val="SOP Designation"/>
    <w:basedOn w:val="SOPBasis"/>
    <w:next w:val="SOPBasis"/>
    <w:autoRedefine/>
    <w:rsid w:val="0093159B"/>
    <w:pPr>
      <w:autoSpaceDE w:val="0"/>
      <w:autoSpaceDN w:val="0"/>
      <w:adjustRightInd w:val="0"/>
      <w:jc w:val="right"/>
    </w:pPr>
    <w:rPr>
      <w:b/>
      <w:bCs/>
      <w:color w:val="000000"/>
    </w:rPr>
  </w:style>
  <w:style w:type="paragraph" w:customStyle="1" w:styleId="SOPDoNotDuplicate">
    <w:name w:val="SOP Do Not Duplicate"/>
    <w:basedOn w:val="SOPBasis"/>
    <w:next w:val="SOPBasis"/>
    <w:autoRedefine/>
    <w:rsid w:val="0093159B"/>
    <w:pPr>
      <w:jc w:val="right"/>
    </w:pPr>
    <w:rPr>
      <w:b/>
      <w:bCs/>
      <w:i/>
      <w:iCs/>
      <w:color w:val="FF0000"/>
    </w:rPr>
  </w:style>
  <w:style w:type="paragraph" w:customStyle="1" w:styleId="SOPTableHeader">
    <w:name w:val="SOP Table Header"/>
    <w:basedOn w:val="SOPBasis"/>
    <w:qFormat/>
    <w:rsid w:val="00F004D7"/>
    <w:pPr>
      <w:tabs>
        <w:tab w:val="right" w:pos="2178"/>
      </w:tabs>
    </w:pPr>
    <w:rPr>
      <w:b/>
      <w:bCs/>
      <w:color w:val="000000"/>
      <w:sz w:val="16"/>
      <w:szCs w:val="16"/>
    </w:rPr>
  </w:style>
  <w:style w:type="paragraph" w:customStyle="1" w:styleId="SOPTableItem">
    <w:name w:val="SOP Table Item"/>
    <w:basedOn w:val="SOPBasis"/>
    <w:qFormat/>
    <w:rsid w:val="00F004D7"/>
    <w:pPr>
      <w:jc w:val="center"/>
    </w:pPr>
    <w:rPr>
      <w:b/>
      <w:bCs/>
      <w:noProof/>
      <w:color w:val="000000"/>
      <w:sz w:val="16"/>
      <w:szCs w:val="16"/>
    </w:rPr>
  </w:style>
  <w:style w:type="paragraph" w:customStyle="1" w:styleId="SOPTableItemSignature">
    <w:name w:val="SOP Table Item Signature"/>
    <w:basedOn w:val="SOPTableItem"/>
    <w:next w:val="SOPTableItem"/>
    <w:autoRedefine/>
    <w:rsid w:val="001A5A2A"/>
    <w:rPr>
      <w:i/>
      <w:color w:val="0000FF"/>
    </w:rPr>
  </w:style>
  <w:style w:type="paragraph" w:customStyle="1" w:styleId="SOPTableItemBold">
    <w:name w:val="SOP Table Item Bold"/>
    <w:basedOn w:val="SOPTableItem"/>
    <w:qFormat/>
    <w:rsid w:val="00F004D7"/>
    <w:rPr>
      <w:bCs w:val="0"/>
      <w:sz w:val="20"/>
      <w:szCs w:val="20"/>
    </w:rPr>
  </w:style>
  <w:style w:type="paragraph" w:customStyle="1" w:styleId="SOPTitle">
    <w:name w:val="SOP Title"/>
    <w:basedOn w:val="SOPBasis"/>
    <w:next w:val="SOPBasis"/>
    <w:qFormat/>
    <w:rsid w:val="00F004D7"/>
    <w:rPr>
      <w:b/>
      <w:bCs/>
      <w:sz w:val="28"/>
      <w:szCs w:val="28"/>
    </w:rPr>
  </w:style>
  <w:style w:type="paragraph" w:styleId="ListParagraph">
    <w:name w:val="List Paragraph"/>
    <w:basedOn w:val="Normal"/>
    <w:uiPriority w:val="34"/>
    <w:qFormat/>
    <w:rsid w:val="00F004D7"/>
    <w:pPr>
      <w:ind w:left="720"/>
      <w:contextualSpacing/>
    </w:pPr>
  </w:style>
  <w:style w:type="paragraph" w:customStyle="1" w:styleId="SOPLevel1">
    <w:name w:val="SOP Level 1"/>
    <w:basedOn w:val="SOPBasis"/>
    <w:qFormat/>
    <w:rsid w:val="00F004D7"/>
    <w:pPr>
      <w:numPr>
        <w:numId w:val="11"/>
      </w:numPr>
      <w:spacing w:before="120" w:after="120"/>
    </w:pPr>
    <w:rPr>
      <w:b/>
      <w:sz w:val="28"/>
    </w:rPr>
  </w:style>
  <w:style w:type="paragraph" w:customStyle="1" w:styleId="SOPLevel2">
    <w:name w:val="SOP Level 2"/>
    <w:basedOn w:val="SOPBasis"/>
    <w:qFormat/>
    <w:rsid w:val="00F004D7"/>
    <w:pPr>
      <w:numPr>
        <w:ilvl w:val="1"/>
        <w:numId w:val="11"/>
      </w:numPr>
      <w:spacing w:before="120" w:after="120"/>
      <w:contextualSpacing/>
    </w:pPr>
  </w:style>
  <w:style w:type="paragraph" w:customStyle="1" w:styleId="SOPLevel3">
    <w:name w:val="SOP Level 3"/>
    <w:basedOn w:val="SOPBasis"/>
    <w:qFormat/>
    <w:rsid w:val="00F004D7"/>
    <w:pPr>
      <w:numPr>
        <w:ilvl w:val="2"/>
        <w:numId w:val="11"/>
      </w:numPr>
      <w:spacing w:before="120" w:after="120"/>
      <w:contextualSpacing/>
    </w:pPr>
  </w:style>
  <w:style w:type="paragraph" w:customStyle="1" w:styleId="SOPLevel4">
    <w:name w:val="SOP Level 4"/>
    <w:basedOn w:val="SOPBasis"/>
    <w:autoRedefine/>
    <w:qFormat/>
    <w:rsid w:val="00F004D7"/>
    <w:pPr>
      <w:numPr>
        <w:ilvl w:val="3"/>
        <w:numId w:val="11"/>
      </w:numPr>
      <w:tabs>
        <w:tab w:val="clear" w:pos="2016"/>
      </w:tabs>
      <w:spacing w:before="120" w:after="120"/>
      <w:ind w:left="2880" w:hanging="864"/>
      <w:contextualSpacing/>
    </w:pPr>
  </w:style>
  <w:style w:type="paragraph" w:customStyle="1" w:styleId="SOPLevel5">
    <w:name w:val="SOP Level 5"/>
    <w:basedOn w:val="SOPBasis"/>
    <w:qFormat/>
    <w:rsid w:val="00F004D7"/>
    <w:pPr>
      <w:numPr>
        <w:ilvl w:val="4"/>
        <w:numId w:val="11"/>
      </w:numPr>
      <w:spacing w:before="120" w:after="120"/>
      <w:contextualSpacing/>
    </w:pPr>
  </w:style>
  <w:style w:type="paragraph" w:customStyle="1" w:styleId="SOPLevel6">
    <w:name w:val="SOP Level 6"/>
    <w:basedOn w:val="SOPBasis"/>
    <w:qFormat/>
    <w:rsid w:val="00F004D7"/>
    <w:pPr>
      <w:numPr>
        <w:ilvl w:val="5"/>
        <w:numId w:val="11"/>
      </w:numPr>
      <w:spacing w:before="120" w:after="120"/>
      <w:contextualSpacing/>
    </w:pPr>
  </w:style>
  <w:style w:type="paragraph" w:customStyle="1" w:styleId="SOPFooter">
    <w:name w:val="SOP Footer"/>
    <w:basedOn w:val="SOPBasis"/>
    <w:autoRedefine/>
    <w:qFormat/>
    <w:rsid w:val="00F004D7"/>
    <w:pPr>
      <w:spacing w:before="120"/>
      <w:jc w:val="center"/>
    </w:pPr>
    <w:rPr>
      <w:sz w:val="16"/>
      <w:szCs w:val="16"/>
    </w:rPr>
  </w:style>
  <w:style w:type="character" w:customStyle="1" w:styleId="SOPDefault">
    <w:name w:val="SOP Default"/>
    <w:basedOn w:val="DefaultParagraphFont"/>
    <w:uiPriority w:val="1"/>
    <w:qFormat/>
    <w:rsid w:val="00F004D7"/>
  </w:style>
  <w:style w:type="character" w:customStyle="1" w:styleId="SOPDefinition">
    <w:name w:val="SOP Definition"/>
    <w:basedOn w:val="SOPDefault"/>
    <w:uiPriority w:val="1"/>
    <w:qFormat/>
    <w:rsid w:val="00F004D7"/>
    <w:rPr>
      <w:bdr w:val="single" w:sz="4" w:space="0" w:color="auto"/>
    </w:rPr>
  </w:style>
  <w:style w:type="paragraph" w:styleId="FootnoteText">
    <w:name w:val="footnote text"/>
    <w:basedOn w:val="Normal"/>
    <w:link w:val="FootnoteTextChar"/>
    <w:uiPriority w:val="99"/>
    <w:semiHidden/>
    <w:unhideWhenUsed/>
    <w:rsid w:val="003D2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26A"/>
    <w:rPr>
      <w:sz w:val="20"/>
      <w:szCs w:val="20"/>
    </w:rPr>
  </w:style>
  <w:style w:type="character" w:styleId="FootnoteReference">
    <w:name w:val="footnote reference"/>
    <w:basedOn w:val="DefaultParagraphFont"/>
    <w:uiPriority w:val="99"/>
    <w:semiHidden/>
    <w:unhideWhenUsed/>
    <w:rsid w:val="003D226A"/>
    <w:rPr>
      <w:vertAlign w:val="superscript"/>
    </w:rPr>
  </w:style>
  <w:style w:type="paragraph" w:customStyle="1" w:styleId="Default">
    <w:name w:val="Default"/>
    <w:rsid w:val="00916E2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E165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
    <w:name w:val="Image"/>
    <w:basedOn w:val="Normal"/>
    <w:next w:val="Normal"/>
    <w:qFormat/>
    <w:rsid w:val="00F004D7"/>
    <w:pPr>
      <w:spacing w:after="0" w:line="240" w:lineRule="auto"/>
      <w:jc w:val="center"/>
    </w:pPr>
    <w:rPr>
      <w:color w:val="FFFFFF" w:themeColor="background1"/>
    </w:rPr>
  </w:style>
  <w:style w:type="character" w:styleId="Hyperlink">
    <w:name w:val="Hyperlink"/>
    <w:basedOn w:val="DefaultParagraphFont"/>
    <w:uiPriority w:val="99"/>
    <w:semiHidden/>
    <w:unhideWhenUsed/>
    <w:rsid w:val="00D6469B"/>
    <w:rPr>
      <w:color w:val="0000FF" w:themeColor="hyperlink"/>
      <w:u w:val="single"/>
    </w:rPr>
  </w:style>
  <w:style w:type="character" w:styleId="CommentReference">
    <w:name w:val="annotation reference"/>
    <w:basedOn w:val="DefaultParagraphFont"/>
    <w:uiPriority w:val="99"/>
    <w:semiHidden/>
    <w:unhideWhenUsed/>
    <w:rsid w:val="001A35A4"/>
    <w:rPr>
      <w:sz w:val="16"/>
      <w:szCs w:val="16"/>
    </w:rPr>
  </w:style>
  <w:style w:type="paragraph" w:styleId="CommentText">
    <w:name w:val="annotation text"/>
    <w:basedOn w:val="Normal"/>
    <w:link w:val="CommentTextChar"/>
    <w:uiPriority w:val="99"/>
    <w:semiHidden/>
    <w:unhideWhenUsed/>
    <w:rsid w:val="001A35A4"/>
    <w:pPr>
      <w:spacing w:line="240" w:lineRule="auto"/>
    </w:pPr>
    <w:rPr>
      <w:sz w:val="20"/>
      <w:szCs w:val="20"/>
    </w:rPr>
  </w:style>
  <w:style w:type="character" w:customStyle="1" w:styleId="CommentTextChar">
    <w:name w:val="Comment Text Char"/>
    <w:basedOn w:val="DefaultParagraphFont"/>
    <w:link w:val="CommentText"/>
    <w:uiPriority w:val="99"/>
    <w:semiHidden/>
    <w:rsid w:val="001A35A4"/>
    <w:rPr>
      <w:sz w:val="20"/>
      <w:szCs w:val="20"/>
    </w:rPr>
  </w:style>
  <w:style w:type="paragraph" w:styleId="CommentSubject">
    <w:name w:val="annotation subject"/>
    <w:basedOn w:val="CommentText"/>
    <w:next w:val="CommentText"/>
    <w:link w:val="CommentSubjectChar"/>
    <w:uiPriority w:val="99"/>
    <w:semiHidden/>
    <w:unhideWhenUsed/>
    <w:rsid w:val="001A35A4"/>
    <w:rPr>
      <w:b/>
      <w:bCs/>
    </w:rPr>
  </w:style>
  <w:style w:type="character" w:customStyle="1" w:styleId="CommentSubjectChar">
    <w:name w:val="Comment Subject Char"/>
    <w:basedOn w:val="CommentTextChar"/>
    <w:link w:val="CommentSubject"/>
    <w:uiPriority w:val="99"/>
    <w:semiHidden/>
    <w:rsid w:val="001A35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239615">
      <w:bodyDiv w:val="1"/>
      <w:marLeft w:val="0"/>
      <w:marRight w:val="0"/>
      <w:marTop w:val="0"/>
      <w:marBottom w:val="0"/>
      <w:divBdr>
        <w:top w:val="none" w:sz="0" w:space="0" w:color="auto"/>
        <w:left w:val="none" w:sz="0" w:space="0" w:color="auto"/>
        <w:bottom w:val="none" w:sz="0" w:space="0" w:color="auto"/>
        <w:right w:val="none" w:sz="0" w:space="0" w:color="auto"/>
      </w:divBdr>
    </w:div>
    <w:div w:id="468089035">
      <w:bodyDiv w:val="1"/>
      <w:marLeft w:val="0"/>
      <w:marRight w:val="0"/>
      <w:marTop w:val="0"/>
      <w:marBottom w:val="0"/>
      <w:divBdr>
        <w:top w:val="none" w:sz="0" w:space="0" w:color="auto"/>
        <w:left w:val="none" w:sz="0" w:space="0" w:color="auto"/>
        <w:bottom w:val="none" w:sz="0" w:space="0" w:color="auto"/>
        <w:right w:val="none" w:sz="0" w:space="0" w:color="auto"/>
      </w:divBdr>
    </w:div>
    <w:div w:id="681320191">
      <w:bodyDiv w:val="1"/>
      <w:marLeft w:val="0"/>
      <w:marRight w:val="0"/>
      <w:marTop w:val="0"/>
      <w:marBottom w:val="0"/>
      <w:divBdr>
        <w:top w:val="none" w:sz="0" w:space="0" w:color="auto"/>
        <w:left w:val="none" w:sz="0" w:space="0" w:color="auto"/>
        <w:bottom w:val="none" w:sz="0" w:space="0" w:color="auto"/>
        <w:right w:val="none" w:sz="0" w:space="0" w:color="auto"/>
      </w:divBdr>
    </w:div>
    <w:div w:id="193462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www.wcgir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omments xmlns="9f506b33-51d1-4e1b-9d93-9b1c88fdb660">Probably needs a wcg version</Comments>
    <WIRB xmlns="9f506b33-51d1-4e1b-9d93-9b1c88fdb660">true</WIR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1A7A403E41FC4C8423951C142D2F6D" ma:contentTypeVersion="2" ma:contentTypeDescription="Create a new document." ma:contentTypeScope="" ma:versionID="cda1e5d477b0c47c4103e57024d84e89">
  <xsd:schema xmlns:xsd="http://www.w3.org/2001/XMLSchema" xmlns:p="http://schemas.microsoft.com/office/2006/metadata/properties" xmlns:ns2="9f506b33-51d1-4e1b-9d93-9b1c88fdb660" targetNamespace="http://schemas.microsoft.com/office/2006/metadata/properties" ma:root="true" ma:fieldsID="d6eda59c64bf8820a226730a5db2e51e" ns2:_="">
    <xsd:import namespace="9f506b33-51d1-4e1b-9d93-9b1c88fdb660"/>
    <xsd:element name="properties">
      <xsd:complexType>
        <xsd:sequence>
          <xsd:element name="documentManagement">
            <xsd:complexType>
              <xsd:all>
                <xsd:element ref="ns2:WIRB" minOccurs="0"/>
                <xsd:element ref="ns2:Comments" minOccurs="0"/>
              </xsd:all>
            </xsd:complexType>
          </xsd:element>
        </xsd:sequence>
      </xsd:complexType>
    </xsd:element>
  </xsd:schema>
  <xsd:schema xmlns:xsd="http://www.w3.org/2001/XMLSchema" xmlns:dms="http://schemas.microsoft.com/office/2006/documentManagement/types" targetNamespace="9f506b33-51d1-4e1b-9d93-9b1c88fdb660" elementFormDefault="qualified">
    <xsd:import namespace="http://schemas.microsoft.com/office/2006/documentManagement/types"/>
    <xsd:element name="WIRB" ma:index="8" nillable="true" ma:displayName="WIRB" ma:default="1" ma:description="Whether this document applies to WIRB" ma:internalName="WIRB">
      <xsd:simpleType>
        <xsd:restriction base="dms:Boolean"/>
      </xsd:simpleType>
    </xsd:element>
    <xsd:element name="Comments" ma:index="9" nillable="true" ma:displayName="Comments" ma:internalName="Comment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D6C7B-5ADA-4D7F-87F2-153C37988F63}">
  <ds:schemaRefs>
    <ds:schemaRef ds:uri="http://schemas.microsoft.com/office/2006/metadata/properties"/>
    <ds:schemaRef ds:uri="9f506b33-51d1-4e1b-9d93-9b1c88fdb660"/>
  </ds:schemaRefs>
</ds:datastoreItem>
</file>

<file path=customXml/itemProps2.xml><?xml version="1.0" encoding="utf-8"?>
<ds:datastoreItem xmlns:ds="http://schemas.openxmlformats.org/officeDocument/2006/customXml" ds:itemID="{C42805A2-BB64-4E56-BB14-7A4905178E41}">
  <ds:schemaRefs>
    <ds:schemaRef ds:uri="http://schemas.microsoft.com/sharepoint/v3/contenttype/forms"/>
  </ds:schemaRefs>
</ds:datastoreItem>
</file>

<file path=customXml/itemProps3.xml><?xml version="1.0" encoding="utf-8"?>
<ds:datastoreItem xmlns:ds="http://schemas.openxmlformats.org/officeDocument/2006/customXml" ds:itemID="{6D0B9BC9-5A93-49FD-9435-D6314A061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06b33-51d1-4e1b-9d93-9b1c88fdb6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EE064A1-4A95-46DB-ADF2-4673B5F9A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1002</Words>
  <Characters>5718</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SOP: Management of Financial Interests</vt:lpstr>
    </vt:vector>
  </TitlesOfParts>
  <Company>Copyright © 2019 WIRB-Copernicus Group. All rights reserved.</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Management of Financial Interests</dc:title>
  <dc:subject>HRP-120</dc:subject>
  <dc:creator>Jeffrey A. Cooper, MD, MMM</dc:creator>
  <dc:description>dd MMM yyyy</dc:description>
  <cp:lastModifiedBy>Hood, Amber Nicole</cp:lastModifiedBy>
  <cp:revision>7</cp:revision>
  <dcterms:created xsi:type="dcterms:W3CDTF">2021-01-14T19:26:00Z</dcterms:created>
  <dcterms:modified xsi:type="dcterms:W3CDTF">2021-02-08T16:31:00Z</dcterms:modified>
  <cp:category>AAHRPP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5400</vt:r8>
  </property>
  <property fmtid="{D5CDD505-2E9C-101B-9397-08002B2CF9AE}" pid="3" name="ContentTypeId">
    <vt:lpwstr>0x010100781A7A403E41FC4C8423951C142D2F6D</vt:lpwstr>
  </property>
</Properties>
</file>